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E77" w14:textId="2853D59B" w:rsidR="00854633" w:rsidRPr="00807F13" w:rsidRDefault="006E2CEC" w:rsidP="00854633">
      <w:pPr>
        <w:spacing w:line="240" w:lineRule="auto"/>
        <w:rPr>
          <w:color w:val="595959" w:themeColor="text1" w:themeTint="A6"/>
          <w:sz w:val="18"/>
          <w:szCs w:val="18"/>
        </w:rPr>
      </w:pPr>
      <w:r w:rsidRPr="0036022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15480C47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2907665" cy="575945"/>
            <wp:effectExtent l="0" t="0" r="6985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Ejemplo de plantilla del plan de negocios </w:t>
      </w:r>
      <w:r w:rsidR="00182CF4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>estratégico a cinco años</w:t>
      </w:r>
      <w:r w:rsidR="000E3EE3">
        <w:rPr>
          <w:b/>
          <w:color w:val="595959" w:themeColor="text1" w:themeTint="A6"/>
          <w:sz w:val="46"/>
          <w:szCs w:val="46"/>
        </w:rPr>
        <w:br/>
      </w:r>
    </w:p>
    <w:p w14:paraId="241BDFF6" w14:textId="77777777" w:rsidR="00BB62A7" w:rsidRDefault="00BB62A7" w:rsidP="000029E5">
      <w:pPr>
        <w:spacing w:after="240"/>
        <w:jc w:val="center"/>
        <w:rPr>
          <w:color w:val="7F7F7F" w:themeColor="text1" w:themeTint="80"/>
          <w:sz w:val="50"/>
          <w:szCs w:val="50"/>
        </w:rPr>
      </w:pPr>
    </w:p>
    <w:p w14:paraId="3D1A1173" w14:textId="70486371" w:rsidR="000029E5" w:rsidRPr="001E16F8" w:rsidRDefault="00901FA1" w:rsidP="000029E5">
      <w:pPr>
        <w:spacing w:after="240"/>
        <w:jc w:val="center"/>
        <w:rPr>
          <w:color w:val="7F7F7F" w:themeColor="text1" w:themeTint="80"/>
          <w:sz w:val="50"/>
          <w:szCs w:val="50"/>
        </w:rPr>
      </w:pPr>
      <w:r>
        <w:rPr>
          <w:color w:val="7F7F7F" w:themeColor="text1" w:themeTint="80"/>
          <w:sz w:val="50"/>
        </w:rPr>
        <w:t>POSITIVE CHARGE</w:t>
      </w:r>
    </w:p>
    <w:p w14:paraId="65008F3F" w14:textId="11731FCB" w:rsidR="000029E5" w:rsidRDefault="002B75CA" w:rsidP="008216A9">
      <w:pPr>
        <w:spacing w:after="240"/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PLAN ESTRATÉGICO A CINCO AÑOS 20XX-20XX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5540"/>
        <w:gridCol w:w="1701"/>
        <w:gridCol w:w="5578"/>
      </w:tblGrid>
      <w:tr w:rsidR="003E0901" w14:paraId="2168AF32" w14:textId="378A4ADB" w:rsidTr="00482C57">
        <w:trPr>
          <w:trHeight w:val="48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FDAD" w14:textId="77777777" w:rsidR="008216A9" w:rsidRPr="008216A9" w:rsidRDefault="008216A9" w:rsidP="003E0901">
            <w:pPr>
              <w:ind w:left="251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MISIÓN</w:t>
            </w:r>
          </w:p>
          <w:p w14:paraId="3D35B9E1" w14:textId="77777777" w:rsidR="008216A9" w:rsidRPr="008216A9" w:rsidRDefault="008216A9" w:rsidP="003E0901">
            <w:pPr>
              <w:ind w:left="251"/>
              <w:rPr>
                <w:color w:val="595959" w:themeColor="text1" w:themeTint="A6"/>
              </w:rPr>
            </w:pPr>
            <w:r>
              <w:rPr>
                <w:color w:val="788B8E"/>
              </w:rPr>
              <w:t>Declaración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42ADE1E7" w14:textId="77777777" w:rsidR="00482C57" w:rsidRPr="00901FA1" w:rsidRDefault="009064BB" w:rsidP="004C120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En Positive Charge, nuestra misión es acelerar la transición del mundo al transporte sostenible. Proporcionamos soluciones de carga y servicios logísticos fiables, convenientes e innovadores para vehículos eléctricos (EV), lo que mejora la experiencia de tener un vehículo eléctrico.</w:t>
            </w:r>
          </w:p>
          <w:p w14:paraId="5128B305" w14:textId="563B796B" w:rsidR="008216A9" w:rsidRPr="00482C57" w:rsidRDefault="009064BB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Nuestro compromiso con la sostenibilidad nos impulsa a mejorar y ampliar continuamente nuestra infraestructura, lo que garantiza la accesibilidad para todos los conductores de vehículos eléctricos y contribuye a un planeta más limpio y ecológico.</w:t>
            </w:r>
          </w:p>
        </w:tc>
        <w:tc>
          <w:tcPr>
            <w:tcW w:w="1530" w:type="dxa"/>
            <w:tcBorders>
              <w:top w:val="nil"/>
              <w:left w:val="single" w:sz="18" w:space="0" w:color="CED9D6"/>
              <w:bottom w:val="nil"/>
              <w:right w:val="nil"/>
            </w:tcBorders>
            <w:shd w:val="clear" w:color="auto" w:fill="auto"/>
          </w:tcPr>
          <w:p w14:paraId="78FF20D2" w14:textId="176A34CE" w:rsidR="008216A9" w:rsidRPr="008216A9" w:rsidRDefault="008216A9" w:rsidP="003E0901">
            <w:pPr>
              <w:ind w:left="160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VISIÓN</w:t>
            </w:r>
          </w:p>
          <w:p w14:paraId="2071BC57" w14:textId="6E9B0A07" w:rsidR="008216A9" w:rsidRPr="008216A9" w:rsidRDefault="008216A9" w:rsidP="003E0901">
            <w:pPr>
              <w:spacing w:after="120"/>
              <w:ind w:left="160"/>
              <w:rPr>
                <w:color w:val="000000" w:themeColor="text1"/>
              </w:rPr>
            </w:pPr>
            <w:r>
              <w:rPr>
                <w:color w:val="788B8E"/>
              </w:rPr>
              <w:t>Declaración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</w:tcPr>
          <w:p w14:paraId="07A53DBC" w14:textId="77777777" w:rsidR="00482C57" w:rsidRPr="00901FA1" w:rsidRDefault="00482C57" w:rsidP="004C120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Nuestra visión es convertirnos en el líder global de la industria de carga de vehículos eléctricos, que marca la pauta para la innovación, la satisfacción del cliente y la gestión ambiental.</w:t>
            </w:r>
          </w:p>
          <w:p w14:paraId="2048692F" w14:textId="77777777" w:rsidR="00901FA1" w:rsidRPr="00901FA1" w:rsidRDefault="00482C57" w:rsidP="004C1201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Para 20XX, Positive Charge tiene como objetivo haber creado la red de carga más extensa y tecnológicamente avanzada para facilitar una movilidad fluida y sostenible en todo el mundo.</w:t>
            </w:r>
          </w:p>
          <w:p w14:paraId="4F668E39" w14:textId="18127BD1" w:rsidR="008216A9" w:rsidRPr="001E16F8" w:rsidRDefault="00482C57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 xml:space="preserve">Visualizamos un futuro en el que el transporte eléctrico sea la norma, impulsado por energía renovable y accesible para todos, </w:t>
            </w:r>
            <w:r w:rsidR="007F45A3">
              <w:rPr>
                <w:rFonts w:eastAsiaTheme="minorEastAsia"/>
                <w:color w:val="000000" w:themeColor="text1"/>
                <w:sz w:val="24"/>
                <w:lang w:eastAsia="zh-CN"/>
              </w:rPr>
              <w:br/>
            </w:r>
            <w:r>
              <w:rPr>
                <w:color w:val="000000" w:themeColor="text1"/>
                <w:sz w:val="24"/>
              </w:rPr>
              <w:t>en todas partes.</w:t>
            </w:r>
          </w:p>
        </w:tc>
      </w:tr>
    </w:tbl>
    <w:p w14:paraId="324C9E84" w14:textId="49A73F52" w:rsidR="00482C57" w:rsidRDefault="00482C57" w:rsidP="008216A9">
      <w:pPr>
        <w:spacing w:line="240" w:lineRule="auto"/>
        <w:jc w:val="center"/>
        <w:rPr>
          <w:color w:val="595959" w:themeColor="text1" w:themeTint="A6"/>
          <w:sz w:val="20"/>
          <w:szCs w:val="20"/>
        </w:rPr>
      </w:pPr>
    </w:p>
    <w:p w14:paraId="30351BE9" w14:textId="77777777" w:rsidR="00482C57" w:rsidRDefault="00482C57">
      <w:pPr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14"/>
        <w:gridCol w:w="2548"/>
        <w:gridCol w:w="2549"/>
        <w:gridCol w:w="2549"/>
        <w:gridCol w:w="2549"/>
        <w:gridCol w:w="2549"/>
      </w:tblGrid>
      <w:tr w:rsidR="0088159D" w:rsidRPr="000029E5" w14:paraId="7DB51B5A" w14:textId="77777777" w:rsidTr="00182CF4">
        <w:trPr>
          <w:trHeight w:val="360"/>
        </w:trPr>
        <w:tc>
          <w:tcPr>
            <w:tcW w:w="1814" w:type="dxa"/>
            <w:tcBorders>
              <w:top w:val="nil"/>
              <w:left w:val="nil"/>
              <w:right w:val="single" w:sz="18" w:space="0" w:color="CED9D6"/>
            </w:tcBorders>
            <w:vAlign w:val="center"/>
          </w:tcPr>
          <w:p w14:paraId="6DA5EE36" w14:textId="011FA9DA" w:rsidR="000029E5" w:rsidRPr="000029E5" w:rsidRDefault="000029E5" w:rsidP="0088159D">
            <w:pPr>
              <w:rPr>
                <w:color w:val="90A6A9"/>
                <w:sz w:val="40"/>
                <w:szCs w:val="40"/>
              </w:rPr>
            </w:pPr>
          </w:p>
        </w:tc>
        <w:tc>
          <w:tcPr>
            <w:tcW w:w="2548" w:type="dxa"/>
            <w:tcBorders>
              <w:top w:val="single" w:sz="18" w:space="0" w:color="CED9D6"/>
              <w:left w:val="single" w:sz="18" w:space="0" w:color="CED9D6"/>
            </w:tcBorders>
            <w:shd w:val="clear" w:color="auto" w:fill="E2E23A"/>
            <w:vAlign w:val="center"/>
          </w:tcPr>
          <w:p w14:paraId="11B08FC5" w14:textId="4D1E075E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1: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3D883FAD" w14:textId="719178CA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2: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2EFF91C9" w14:textId="7BC3B972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3: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889FDE" w14:textId="20E15098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4: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69C4F1" w14:textId="1688A489" w:rsidR="000029E5" w:rsidRPr="000154E8" w:rsidRDefault="00807F13" w:rsidP="0088159D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METAS AÑO 5: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</w:tr>
      <w:tr w:rsidR="0088159D" w:rsidRPr="000029E5" w14:paraId="533337FB" w14:textId="77777777" w:rsidTr="00182CF4">
        <w:trPr>
          <w:trHeight w:val="1512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3AF50451" w14:textId="6BD4CCC3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FINANZAS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64B37C94" w14:textId="4C54B5CC" w:rsidR="0088159D" w:rsidRPr="00182CF4" w:rsidRDefault="00901FA1" w:rsidP="00954C5C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Establecer las bases:</w:t>
            </w:r>
            <w:r w:rsidR="00954C5C" w:rsidRPr="00182CF4">
              <w:rPr>
                <w:color w:val="000000" w:themeColor="text1"/>
                <w:sz w:val="15"/>
                <w:szCs w:val="15"/>
              </w:rPr>
              <w:t xml:space="preserve"> Alcanzar los USD 5 millones en ingresos al ampliar la red de cobro en un 15%. Garantizar USD 2 millones en financiación para actualizaciones y expansión de tecnología.</w:t>
            </w:r>
          </w:p>
        </w:tc>
        <w:tc>
          <w:tcPr>
            <w:tcW w:w="2549" w:type="dxa"/>
            <w:shd w:val="clear" w:color="auto" w:fill="FAFAFA"/>
          </w:tcPr>
          <w:p w14:paraId="2BDC87AA" w14:textId="77777777" w:rsidR="008F58FD" w:rsidRPr="00182CF4" w:rsidRDefault="00954C5C" w:rsidP="008F58F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Crecimiento y expansión:</w:t>
            </w:r>
            <w:r w:rsidR="008F58FD" w:rsidRPr="00182CF4">
              <w:rPr>
                <w:color w:val="000000" w:themeColor="text1"/>
                <w:sz w:val="15"/>
                <w:szCs w:val="15"/>
              </w:rPr>
              <w:t xml:space="preserve"> Aumentar los ingresos en un 20%, poniendo el foco en las zonas urbanas de alta demanda.</w:t>
            </w:r>
          </w:p>
          <w:p w14:paraId="54BF1BD9" w14:textId="464D54EE" w:rsidR="0088159D" w:rsidRPr="00182CF4" w:rsidRDefault="008F58FD" w:rsidP="008F58F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</w:rPr>
              <w:t xml:space="preserve">Reducir los costos operativos en un 5% a través de las mejoras en la eficiencia. </w:t>
            </w:r>
          </w:p>
        </w:tc>
        <w:tc>
          <w:tcPr>
            <w:tcW w:w="2549" w:type="dxa"/>
          </w:tcPr>
          <w:p w14:paraId="3F48B8AD" w14:textId="77777777" w:rsidR="00A85C00" w:rsidRPr="00182CF4" w:rsidRDefault="008F58FD" w:rsidP="00A85C00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Consolidación y rentabilidad: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Alcanzar USD 15 millones en ingresos a través de asociaciones estratégicas y diversificación de servicios.</w:t>
            </w:r>
          </w:p>
          <w:p w14:paraId="429C24C1" w14:textId="63E1AA4C" w:rsidR="0088159D" w:rsidRPr="00182CF4" w:rsidRDefault="00A85C00" w:rsidP="00A85C00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</w:rPr>
              <w:t>Obtener un margen de ganancias del 15% optimizando las operaciones y la gestión de costos.</w:t>
            </w:r>
          </w:p>
        </w:tc>
        <w:tc>
          <w:tcPr>
            <w:tcW w:w="2549" w:type="dxa"/>
            <w:shd w:val="clear" w:color="auto" w:fill="FAFAFA"/>
          </w:tcPr>
          <w:p w14:paraId="7B3AE08B" w14:textId="6D4CE8D6" w:rsidR="0088159D" w:rsidRPr="00182CF4" w:rsidRDefault="00A85C00" w:rsidP="00A43A23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Liderazgo en el mercado: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Alcanzar los USD 25 millones en ingresos con la introducción de soluciones de carga innovadoras. Expandirse a nivel internacional, comenzando con proyectos piloto en Europa y Asia.</w:t>
            </w:r>
          </w:p>
        </w:tc>
        <w:tc>
          <w:tcPr>
            <w:tcW w:w="2549" w:type="dxa"/>
          </w:tcPr>
          <w:p w14:paraId="1CC52BEF" w14:textId="3291A10E" w:rsidR="0088159D" w:rsidRPr="00182CF4" w:rsidRDefault="00A85C00" w:rsidP="00A43A23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Sostenibilidad e innovación: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Superar los USD 35 millones en ingresos siendo pioneros en la implementación de prácticas sostenibles y la integración de la energía renovable. Invertir el 10% de las ganancias en investigación y desarrollo para tecnologías de carga de vehículos eléctricos de última generación.</w:t>
            </w:r>
          </w:p>
        </w:tc>
      </w:tr>
      <w:tr w:rsidR="0088159D" w:rsidRPr="000029E5" w14:paraId="640E1C04" w14:textId="77777777" w:rsidTr="00182CF4">
        <w:trPr>
          <w:trHeight w:val="1512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EF76EF3" w14:textId="2E152536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MARKETING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25684728" w14:textId="4EBE6DC2" w:rsidR="0088159D" w:rsidRPr="00182CF4" w:rsidRDefault="00AE5812" w:rsidP="00A43A23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Conocimiento de la marca: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Lanzar una campaña integral de marketing digital para aumentar la visibilidad de la marca. Establecer asociaciones con los fabricantes de vehículos eléctricos para oportunidades de marketing conjunto.</w:t>
            </w:r>
          </w:p>
        </w:tc>
        <w:tc>
          <w:tcPr>
            <w:tcW w:w="2549" w:type="dxa"/>
            <w:shd w:val="clear" w:color="auto" w:fill="FAFAFA"/>
          </w:tcPr>
          <w:p w14:paraId="2C7E8C25" w14:textId="3435328C" w:rsidR="0088159D" w:rsidRPr="00182CF4" w:rsidRDefault="00A43A23" w:rsidP="00A43A23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Penetración en el mercado: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Introducir programas de fidelidad e incentivos para los usuarios frecuentes. Organizar eventos de concientización y sostenibilidad de vehículos eléctricos para educar y captar clientes potenciales.</w:t>
            </w:r>
          </w:p>
        </w:tc>
        <w:tc>
          <w:tcPr>
            <w:tcW w:w="2549" w:type="dxa"/>
          </w:tcPr>
          <w:p w14:paraId="0DD32D47" w14:textId="1675A7AC" w:rsidR="0088159D" w:rsidRPr="00182CF4" w:rsidRDefault="00053358" w:rsidP="00053358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Participación del cliente</w:t>
            </w:r>
            <w:r w:rsidRPr="00D74B5A">
              <w:rPr>
                <w:color w:val="000000" w:themeColor="text1"/>
                <w:sz w:val="15"/>
                <w:szCs w:val="15"/>
                <w:u w:val="single"/>
              </w:rPr>
              <w:t>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Aprovechar las redes sociales y los comentarios de los clientes para mejorar la experiencia del usuario. Implementar programas de referencia para aumentar la base de usuarios. </w:t>
            </w:r>
          </w:p>
        </w:tc>
        <w:tc>
          <w:tcPr>
            <w:tcW w:w="2549" w:type="dxa"/>
            <w:shd w:val="clear" w:color="auto" w:fill="FAFAFA"/>
          </w:tcPr>
          <w:p w14:paraId="1E90D385" w14:textId="77777777" w:rsidR="005069D7" w:rsidRPr="00182CF4" w:rsidRDefault="00053358" w:rsidP="005069D7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Expansión y diversificación</w:t>
            </w:r>
            <w:r w:rsidRPr="00182CF4">
              <w:rPr>
                <w:color w:val="000000" w:themeColor="text1"/>
                <w:sz w:val="15"/>
                <w:szCs w:val="15"/>
              </w:rPr>
              <w:t>: Ingresar a nuevos mercados con estrategias de marketing específicas para los consumidores locales.</w:t>
            </w:r>
          </w:p>
          <w:p w14:paraId="797CBB5B" w14:textId="350F596D" w:rsidR="0088159D" w:rsidRPr="00182CF4" w:rsidRDefault="005069D7" w:rsidP="005069D7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</w:rPr>
              <w:t>Diversificar los esfuerzos de marketing para incluir segmentos B2B, centrándose en las empresas de logística.</w:t>
            </w:r>
          </w:p>
        </w:tc>
        <w:tc>
          <w:tcPr>
            <w:tcW w:w="2549" w:type="dxa"/>
          </w:tcPr>
          <w:p w14:paraId="412C8599" w14:textId="24830FC5" w:rsidR="0088159D" w:rsidRPr="00182CF4" w:rsidRDefault="005069D7" w:rsidP="005069D7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Liderazgo de marca</w:t>
            </w:r>
            <w:r w:rsidRPr="00182CF4">
              <w:rPr>
                <w:color w:val="000000" w:themeColor="text1"/>
                <w:sz w:val="15"/>
                <w:szCs w:val="15"/>
              </w:rPr>
              <w:t>: Positive Charge como líder intelectual en la innovación de carga de vehículos eléctricos a través de conferencias y publicaciones del sector. Fortalecer la lealtad a la marca destacando las iniciativas de sostenibilidad y las historias de éxito de los clientes.</w:t>
            </w:r>
          </w:p>
        </w:tc>
      </w:tr>
      <w:tr w:rsidR="0088159D" w:rsidRPr="000029E5" w14:paraId="7D91EEA5" w14:textId="77777777" w:rsidTr="00182CF4">
        <w:trPr>
          <w:trHeight w:val="1512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0C55B2B4" w14:textId="71D2870A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PARTICIPACIÓN COMUNITARIA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4EB5506C" w14:textId="53B7F8A6" w:rsidR="0088159D" w:rsidRPr="00182CF4" w:rsidRDefault="00520499" w:rsidP="00533A0B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Fortalecimiento de relaciones</w:t>
            </w:r>
            <w:r w:rsidRPr="00182CF4">
              <w:rPr>
                <w:color w:val="000000" w:themeColor="text1"/>
                <w:sz w:val="15"/>
                <w:szCs w:val="15"/>
              </w:rPr>
              <w:t>: Colaborar con los gobiernos locales y las organizaciones comunitarias en proyectos de infraestructura de vehículos eléctricos. Patrocinar eventos locales de medio ambiente y sostenibilidad.</w:t>
            </w:r>
          </w:p>
        </w:tc>
        <w:tc>
          <w:tcPr>
            <w:tcW w:w="2549" w:type="dxa"/>
            <w:shd w:val="clear" w:color="auto" w:fill="FAFAFA"/>
          </w:tcPr>
          <w:p w14:paraId="1CDB1F72" w14:textId="1EEF3D7D" w:rsidR="0088159D" w:rsidRPr="00182CF4" w:rsidRDefault="00533A0B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Programas comunitarios</w:t>
            </w:r>
            <w:r w:rsidRPr="00182CF4">
              <w:rPr>
                <w:color w:val="000000" w:themeColor="text1"/>
                <w:sz w:val="15"/>
                <w:szCs w:val="15"/>
              </w:rPr>
              <w:t>: Lanzar programas educativos en escuelas y comunidades sobre los vehículos eléctricos y la sostenibilidad ambiental. Iniciar un programa de becas para que las empresas locales instalen cargadores de vehículos eléctricos.</w:t>
            </w:r>
          </w:p>
        </w:tc>
        <w:tc>
          <w:tcPr>
            <w:tcW w:w="2549" w:type="dxa"/>
          </w:tcPr>
          <w:p w14:paraId="1D521495" w14:textId="7D48826C" w:rsidR="0088159D" w:rsidRPr="00182CF4" w:rsidRDefault="00533A0B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Comentarios y adaptación</w:t>
            </w:r>
            <w:r w:rsidRPr="00182CF4">
              <w:rPr>
                <w:color w:val="000000" w:themeColor="text1"/>
                <w:sz w:val="15"/>
                <w:szCs w:val="15"/>
              </w:rPr>
              <w:t>: Establecer una junta asesora de la comunidad para recopilar comentarios sobre las ubicaciones y los servicios de las estaciones de carga. Implementar mejoras y funciones de accesibilidad sugeridas por la comunidad.</w:t>
            </w:r>
          </w:p>
        </w:tc>
        <w:tc>
          <w:tcPr>
            <w:tcW w:w="2549" w:type="dxa"/>
            <w:shd w:val="clear" w:color="auto" w:fill="FAFAFA"/>
          </w:tcPr>
          <w:p w14:paraId="70EC6C7F" w14:textId="1E5845BC" w:rsidR="0088159D" w:rsidRPr="00182CF4" w:rsidRDefault="009B2E64" w:rsidP="00182CF4">
            <w:pPr>
              <w:ind w:right="-74"/>
              <w:rPr>
                <w:color w:val="000000" w:themeColor="text1"/>
                <w:spacing w:val="-4"/>
                <w:sz w:val="15"/>
                <w:szCs w:val="15"/>
              </w:rPr>
            </w:pPr>
            <w:r w:rsidRPr="00182CF4">
              <w:rPr>
                <w:color w:val="000000" w:themeColor="text1"/>
                <w:spacing w:val="-4"/>
                <w:sz w:val="15"/>
                <w:szCs w:val="15"/>
                <w:u w:val="single"/>
              </w:rPr>
              <w:t>Impacto en expansión</w:t>
            </w:r>
            <w:r w:rsidRPr="00182CF4">
              <w:rPr>
                <w:color w:val="000000" w:themeColor="text1"/>
                <w:spacing w:val="-4"/>
                <w:sz w:val="15"/>
                <w:szCs w:val="15"/>
              </w:rPr>
              <w:t>: Asociarse con organizaciones sin fines de lucro para proyectos de impacto ambiental más amplios. Aumentar la participación a través de proyectos comunitarios en estaciones de carga relacionados con el arte.</w:t>
            </w:r>
          </w:p>
        </w:tc>
        <w:tc>
          <w:tcPr>
            <w:tcW w:w="2549" w:type="dxa"/>
          </w:tcPr>
          <w:p w14:paraId="771372A9" w14:textId="7B8BED5D" w:rsidR="003C4D8C" w:rsidRPr="00182CF4" w:rsidRDefault="009B2E64" w:rsidP="003C4D8C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Legado y liderazgo</w:t>
            </w:r>
            <w:r w:rsidR="003C4D8C" w:rsidRPr="00D74B5A">
              <w:rPr>
                <w:color w:val="000000" w:themeColor="text1"/>
                <w:sz w:val="15"/>
                <w:szCs w:val="15"/>
                <w:u w:val="single"/>
              </w:rPr>
              <w:t>:</w:t>
            </w:r>
            <w:r w:rsidR="003C4D8C" w:rsidRPr="00182CF4">
              <w:rPr>
                <w:color w:val="000000" w:themeColor="text1"/>
                <w:sz w:val="15"/>
                <w:szCs w:val="15"/>
              </w:rPr>
              <w:t xml:space="preserve"> Dirigir iniciativas comunitarias sobre energía renovable y sostenibilidad, estableciendo estándares del sector.</w:t>
            </w:r>
          </w:p>
          <w:p w14:paraId="390B3235" w14:textId="1593805A" w:rsidR="0088159D" w:rsidRPr="00182CF4" w:rsidRDefault="003C4D8C" w:rsidP="003C4D8C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</w:rPr>
              <w:t xml:space="preserve">Crear centros comunitarios de Positive Charge para la educación y la innovación en las ciudades más grandes. </w:t>
            </w:r>
          </w:p>
        </w:tc>
      </w:tr>
      <w:tr w:rsidR="0088159D" w:rsidRPr="000029E5" w14:paraId="64E03964" w14:textId="77777777" w:rsidTr="00182CF4">
        <w:trPr>
          <w:trHeight w:val="1384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27D3683" w14:textId="3664CE30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OPERATIVO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78A1221E" w14:textId="6E5E0CEB" w:rsidR="0088159D" w:rsidRPr="00182CF4" w:rsidRDefault="00030AA4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Desarrollo de infraestructura</w:t>
            </w:r>
            <w:r w:rsidRPr="00182CF4">
              <w:rPr>
                <w:color w:val="000000" w:themeColor="text1"/>
                <w:sz w:val="15"/>
                <w:szCs w:val="15"/>
              </w:rPr>
              <w:t>: Implementar 200 nuevas estaciones de carga en ubicaciones estratégicas clave. Implementar sistemas de mantenimiento y supervisión de última generación para obtener una alta fiabilidad.</w:t>
            </w:r>
          </w:p>
        </w:tc>
        <w:tc>
          <w:tcPr>
            <w:tcW w:w="2549" w:type="dxa"/>
            <w:shd w:val="clear" w:color="auto" w:fill="FAFAFA"/>
          </w:tcPr>
          <w:p w14:paraId="58A6D3A1" w14:textId="49C36EB8" w:rsidR="0088159D" w:rsidRPr="00182CF4" w:rsidRDefault="00030AA4" w:rsidP="0088159D">
            <w:pPr>
              <w:rPr>
                <w:color w:val="000000" w:themeColor="text1"/>
                <w:spacing w:val="-5"/>
                <w:sz w:val="15"/>
                <w:szCs w:val="15"/>
              </w:rPr>
            </w:pPr>
            <w:r w:rsidRPr="00182CF4">
              <w:rPr>
                <w:color w:val="000000" w:themeColor="text1"/>
                <w:spacing w:val="-5"/>
                <w:sz w:val="15"/>
                <w:szCs w:val="15"/>
                <w:u w:val="single"/>
              </w:rPr>
              <w:t>Eficiencia y confiabilidad</w:t>
            </w:r>
            <w:r w:rsidRPr="00182CF4">
              <w:rPr>
                <w:color w:val="000000" w:themeColor="text1"/>
                <w:spacing w:val="-5"/>
                <w:sz w:val="15"/>
                <w:szCs w:val="15"/>
              </w:rPr>
              <w:t>: Introducir funciones de aplicaciones para dispositivos móviles a fin de mejorar el servicio al cliente y los comentarios operativos. Reducir el tiempo de inactividad de las estaciones de carga en un 50% a través del mantenimiento predictivo.</w:t>
            </w:r>
          </w:p>
        </w:tc>
        <w:tc>
          <w:tcPr>
            <w:tcW w:w="2549" w:type="dxa"/>
          </w:tcPr>
          <w:p w14:paraId="1311B5B6" w14:textId="6C065AAD" w:rsidR="0088159D" w:rsidRPr="00182CF4" w:rsidRDefault="00030AA4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Escalabilidad y flexibilidad</w:t>
            </w:r>
            <w:r w:rsidRPr="00182CF4">
              <w:rPr>
                <w:color w:val="000000" w:themeColor="text1"/>
                <w:sz w:val="15"/>
                <w:szCs w:val="15"/>
              </w:rPr>
              <w:t>: Desarrollar diseños de estaciones modulares para una rápida implementación en nuevos mercados. Mejorar los sistemas operativos para estar preparados para la expansión internacional.</w:t>
            </w:r>
          </w:p>
        </w:tc>
        <w:tc>
          <w:tcPr>
            <w:tcW w:w="2549" w:type="dxa"/>
            <w:shd w:val="clear" w:color="auto" w:fill="FAFAFA"/>
          </w:tcPr>
          <w:p w14:paraId="2974C203" w14:textId="7F050600" w:rsidR="0088159D" w:rsidRPr="00182CF4" w:rsidRDefault="00030AA4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Integración y nuevas tecnologías</w:t>
            </w:r>
            <w:r w:rsidRPr="00182CF4">
              <w:rPr>
                <w:color w:val="000000" w:themeColor="text1"/>
                <w:sz w:val="15"/>
                <w:szCs w:val="15"/>
              </w:rPr>
              <w:t>: Integrar soluciones de energía solar y almacenamiento de energía en estaciones de carga. Tecnología piloto de carga inalámbrica en algunas áreas urbanas.</w:t>
            </w:r>
          </w:p>
        </w:tc>
        <w:tc>
          <w:tcPr>
            <w:tcW w:w="2549" w:type="dxa"/>
          </w:tcPr>
          <w:p w14:paraId="7F43BE15" w14:textId="381B4F9F" w:rsidR="0088159D" w:rsidRPr="00182CF4" w:rsidRDefault="00030AA4" w:rsidP="0088159D">
            <w:pPr>
              <w:rPr>
                <w:color w:val="000000" w:themeColor="text1"/>
                <w:spacing w:val="-5"/>
                <w:sz w:val="15"/>
                <w:szCs w:val="15"/>
              </w:rPr>
            </w:pPr>
            <w:r w:rsidRPr="00182CF4">
              <w:rPr>
                <w:color w:val="000000" w:themeColor="text1"/>
                <w:spacing w:val="-5"/>
                <w:sz w:val="15"/>
                <w:szCs w:val="15"/>
                <w:u w:val="single"/>
              </w:rPr>
              <w:t>Preparación para el futuro de las operaciones</w:t>
            </w:r>
            <w:r w:rsidRPr="00182CF4">
              <w:rPr>
                <w:color w:val="000000" w:themeColor="text1"/>
                <w:spacing w:val="-5"/>
                <w:sz w:val="15"/>
                <w:szCs w:val="15"/>
              </w:rPr>
              <w:t>: Lograr una eficiencia operativa completa con el análisis basado en la IA y la integración del IoT. Garantizar que todas las operaciones estén impulsadas por energía 100% renovable, en concordancia con las metas de sostenibilidad.</w:t>
            </w:r>
          </w:p>
        </w:tc>
      </w:tr>
      <w:tr w:rsidR="00BB24E5" w:rsidRPr="000029E5" w14:paraId="6C68E6AA" w14:textId="77777777" w:rsidTr="00182CF4">
        <w:trPr>
          <w:trHeight w:val="1087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52801AD2" w14:textId="6692367A" w:rsidR="00BB24E5" w:rsidRPr="008216A9" w:rsidRDefault="00BB24E5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ASOCIACIONES ESTRATÉGICAS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1791BE70" w14:textId="448DB530" w:rsidR="00BB24E5" w:rsidRPr="00182CF4" w:rsidRDefault="00BB24E5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Bases y alineación: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Establecer asociaciones con los fabricantes de vehículos eléctricos y las empresas locales para aumentar la accesibilidad de las estaciones de carga.</w:t>
            </w:r>
          </w:p>
        </w:tc>
        <w:tc>
          <w:tcPr>
            <w:tcW w:w="10196" w:type="dxa"/>
            <w:gridSpan w:val="4"/>
            <w:shd w:val="clear" w:color="auto" w:fill="FAFAFA"/>
          </w:tcPr>
          <w:p w14:paraId="391EC499" w14:textId="7FD7E5CF" w:rsidR="00BB24E5" w:rsidRPr="00182CF4" w:rsidRDefault="00BB24E5" w:rsidP="0088159D">
            <w:pPr>
              <w:rPr>
                <w:color w:val="000000" w:themeColor="text1"/>
                <w:sz w:val="15"/>
                <w:szCs w:val="15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Expansión y sinergia:</w:t>
            </w:r>
            <w:r w:rsidRPr="00182CF4">
              <w:rPr>
                <w:color w:val="000000" w:themeColor="text1"/>
                <w:sz w:val="15"/>
                <w:szCs w:val="15"/>
              </w:rPr>
              <w:t xml:space="preserve"> Revisar anualmente la efectividad de las asociaciones y la alineación estratégica, con el objetivo de expandirse a nuevos mercados y tecnologías, mejorar las ofertas de servicios y la presencia en el mercado.</w:t>
            </w:r>
          </w:p>
        </w:tc>
      </w:tr>
      <w:tr w:rsidR="00BB24E5" w:rsidRPr="000029E5" w14:paraId="563DC248" w14:textId="77777777" w:rsidTr="00182CF4">
        <w:trPr>
          <w:trHeight w:val="979"/>
        </w:trPr>
        <w:tc>
          <w:tcPr>
            <w:tcW w:w="1814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5EB8BB4" w14:textId="763DD6EA" w:rsidR="00BB24E5" w:rsidRDefault="00EA2E2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DESARROLLO TECNOLÓGICO</w:t>
            </w:r>
          </w:p>
        </w:tc>
        <w:tc>
          <w:tcPr>
            <w:tcW w:w="2548" w:type="dxa"/>
            <w:tcBorders>
              <w:left w:val="single" w:sz="18" w:space="0" w:color="CED9D6"/>
            </w:tcBorders>
          </w:tcPr>
          <w:p w14:paraId="185B5A66" w14:textId="622A0562" w:rsidR="00BB24E5" w:rsidRPr="00182CF4" w:rsidRDefault="00EA2E23" w:rsidP="0088159D">
            <w:pPr>
              <w:rPr>
                <w:color w:val="000000" w:themeColor="text1"/>
                <w:sz w:val="15"/>
                <w:szCs w:val="15"/>
                <w:u w:val="single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 xml:space="preserve">Investigación y desarrollo: </w:t>
            </w:r>
            <w:r w:rsidRPr="00182CF4">
              <w:rPr>
                <w:color w:val="000000" w:themeColor="text1"/>
                <w:sz w:val="15"/>
                <w:szCs w:val="15"/>
              </w:rPr>
              <w:t>Invertir en investigación y desarrollo para obtener tecnologías de carga más rápidas y mejores diseños de interfaz de usuario</w:t>
            </w:r>
            <w:r w:rsidRPr="00182CF4">
              <w:rPr>
                <w:color w:val="000000" w:themeColor="text1"/>
                <w:sz w:val="15"/>
                <w:szCs w:val="15"/>
                <w:u w:val="single"/>
              </w:rPr>
              <w:t>.</w:t>
            </w:r>
          </w:p>
        </w:tc>
        <w:tc>
          <w:tcPr>
            <w:tcW w:w="10196" w:type="dxa"/>
            <w:gridSpan w:val="4"/>
            <w:shd w:val="clear" w:color="auto" w:fill="FAFAFA"/>
          </w:tcPr>
          <w:p w14:paraId="03A7C503" w14:textId="1350088E" w:rsidR="00BB24E5" w:rsidRPr="00182CF4" w:rsidRDefault="00EA2E23" w:rsidP="0088159D">
            <w:pPr>
              <w:rPr>
                <w:color w:val="000000" w:themeColor="text1"/>
                <w:sz w:val="15"/>
                <w:szCs w:val="15"/>
                <w:u w:val="single"/>
              </w:rPr>
            </w:pPr>
            <w:r w:rsidRPr="00182CF4">
              <w:rPr>
                <w:color w:val="000000" w:themeColor="text1"/>
                <w:sz w:val="15"/>
                <w:szCs w:val="15"/>
                <w:u w:val="single"/>
              </w:rPr>
              <w:t>Implementación e innovación:</w:t>
            </w:r>
            <w:r w:rsidRPr="00D74B5A">
              <w:rPr>
                <w:color w:val="000000" w:themeColor="text1"/>
                <w:sz w:val="15"/>
                <w:szCs w:val="15"/>
              </w:rPr>
              <w:t xml:space="preserve"> </w:t>
            </w:r>
            <w:r w:rsidR="002A17D9" w:rsidRPr="00182CF4">
              <w:rPr>
                <w:color w:val="000000" w:themeColor="text1"/>
                <w:sz w:val="15"/>
                <w:szCs w:val="15"/>
              </w:rPr>
              <w:t>Implementar nuevas tecnologías y funciones, centrándose en la conveniencia del cliente y la sostenibilidad ambiental, para garantizar que Positive Charge siga liderando en avances tecnológicos en la industria de la carga de vehículos eléctricos.</w:t>
            </w:r>
          </w:p>
        </w:tc>
      </w:tr>
    </w:tbl>
    <w:p w14:paraId="5BD356C0" w14:textId="77777777" w:rsidR="0088159D" w:rsidRPr="0088159D" w:rsidRDefault="0088159D" w:rsidP="0088159D">
      <w:pPr>
        <w:spacing w:line="240" w:lineRule="auto"/>
        <w:rPr>
          <w:color w:val="595959" w:themeColor="text1" w:themeTint="A6"/>
          <w:sz w:val="20"/>
          <w:szCs w:val="20"/>
        </w:rPr>
      </w:pPr>
    </w:p>
    <w:p w14:paraId="38A24177" w14:textId="54B26588" w:rsidR="003447E4" w:rsidRPr="009206DB" w:rsidRDefault="00A47B7F" w:rsidP="00A47B7F">
      <w:pPr>
        <w:shd w:val="clear" w:color="auto" w:fill="FFFFFF" w:themeFill="background1"/>
        <w:spacing w:line="240" w:lineRule="auto"/>
        <w:rPr>
          <w:color w:val="595959" w:themeColor="text1" w:themeTint="A6"/>
          <w:sz w:val="20"/>
          <w:szCs w:val="20"/>
        </w:rPr>
        <w:sectPr w:rsidR="003447E4" w:rsidRPr="009206DB" w:rsidSect="008216A9">
          <w:pgSz w:w="15840" w:h="12240" w:orient="landscape"/>
          <w:pgMar w:top="567" w:right="486" w:bottom="585" w:left="720" w:header="0" w:footer="0" w:gutter="0"/>
          <w:pgNumType w:start="1"/>
          <w:cols w:space="720"/>
          <w:docGrid w:linePitch="299"/>
        </w:sectPr>
      </w:pPr>
      <w:r>
        <w:rPr>
          <w:color w:val="595959" w:themeColor="text1" w:themeTint="A6"/>
          <w:sz w:val="20"/>
        </w:rPr>
        <w:t>Este plan estratégico de negocios a 5 años posiciona a "Positive Charge" en el camino hacia el liderazgo en la industria, la innovación y la sostenibilidad, enfocándose en el crecimiento financiero, la posición en el mercado, la participación comunitaria, la excelencia operativa, las asociaciones estratégicas y la innovación tecnológica.</w:t>
      </w:r>
    </w:p>
    <w:p w14:paraId="1D41730C" w14:textId="77777777" w:rsidR="005C01C6" w:rsidRPr="00360227" w:rsidRDefault="005C01C6" w:rsidP="00EB075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360227" w14:paraId="28384DF7" w14:textId="77777777" w:rsidTr="005C01C6">
        <w:trPr>
          <w:trHeight w:val="3107"/>
        </w:trPr>
        <w:tc>
          <w:tcPr>
            <w:tcW w:w="9990" w:type="dxa"/>
          </w:tcPr>
          <w:p w14:paraId="2D533464" w14:textId="77777777" w:rsidR="005C01C6" w:rsidRPr="00360227" w:rsidRDefault="005C01C6" w:rsidP="00EB075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C0DA57C" w14:textId="77777777" w:rsidR="005C01C6" w:rsidRPr="00360227" w:rsidRDefault="005C01C6" w:rsidP="00EB075A"/>
          <w:p w14:paraId="4A8BCDA9" w14:textId="77777777" w:rsidR="005C01C6" w:rsidRPr="00360227" w:rsidRDefault="005C01C6" w:rsidP="00EB075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629278FC" w14:textId="03861978" w:rsidR="005C01C6" w:rsidRPr="00360227" w:rsidRDefault="005C01C6" w:rsidP="00EB075A">
            <w:pPr>
              <w:spacing w:line="276" w:lineRule="auto"/>
            </w:pPr>
          </w:p>
        </w:tc>
      </w:tr>
    </w:tbl>
    <w:p w14:paraId="1313BE39" w14:textId="77777777" w:rsidR="005C01C6" w:rsidRPr="00360227" w:rsidRDefault="005C01C6" w:rsidP="00EB075A">
      <w:pPr>
        <w:spacing w:line="240" w:lineRule="auto"/>
        <w:rPr>
          <w:szCs w:val="20"/>
        </w:rPr>
      </w:pPr>
    </w:p>
    <w:p w14:paraId="00000050" w14:textId="77777777" w:rsidR="00C62A39" w:rsidRPr="00360227" w:rsidRDefault="00C62A39" w:rsidP="00EB075A">
      <w:pPr>
        <w:spacing w:after="120"/>
      </w:pPr>
    </w:p>
    <w:sectPr w:rsidR="00C62A39" w:rsidRPr="00360227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154E8"/>
    <w:rsid w:val="00030AA4"/>
    <w:rsid w:val="0005173C"/>
    <w:rsid w:val="00053358"/>
    <w:rsid w:val="00066E19"/>
    <w:rsid w:val="000E3EE3"/>
    <w:rsid w:val="00133A8B"/>
    <w:rsid w:val="00146DB2"/>
    <w:rsid w:val="00182CF4"/>
    <w:rsid w:val="001A376C"/>
    <w:rsid w:val="001A70DD"/>
    <w:rsid w:val="001B4D84"/>
    <w:rsid w:val="001E16F8"/>
    <w:rsid w:val="002A17D9"/>
    <w:rsid w:val="002B75CA"/>
    <w:rsid w:val="002C0411"/>
    <w:rsid w:val="00340487"/>
    <w:rsid w:val="003447E4"/>
    <w:rsid w:val="00360227"/>
    <w:rsid w:val="003A273E"/>
    <w:rsid w:val="003C3118"/>
    <w:rsid w:val="003C4D8C"/>
    <w:rsid w:val="003D7EB7"/>
    <w:rsid w:val="003E0901"/>
    <w:rsid w:val="00432C00"/>
    <w:rsid w:val="00482C57"/>
    <w:rsid w:val="004B0414"/>
    <w:rsid w:val="004D1D7C"/>
    <w:rsid w:val="004D69CA"/>
    <w:rsid w:val="005069D7"/>
    <w:rsid w:val="00520499"/>
    <w:rsid w:val="005252F9"/>
    <w:rsid w:val="00533A0B"/>
    <w:rsid w:val="00581D0B"/>
    <w:rsid w:val="005B25F0"/>
    <w:rsid w:val="005C01C6"/>
    <w:rsid w:val="005D2711"/>
    <w:rsid w:val="005F067C"/>
    <w:rsid w:val="005F1960"/>
    <w:rsid w:val="00603E38"/>
    <w:rsid w:val="00636A0C"/>
    <w:rsid w:val="006C1E61"/>
    <w:rsid w:val="006E2CEC"/>
    <w:rsid w:val="0072047B"/>
    <w:rsid w:val="0073783D"/>
    <w:rsid w:val="0079272D"/>
    <w:rsid w:val="007F45A3"/>
    <w:rsid w:val="00807301"/>
    <w:rsid w:val="00807F13"/>
    <w:rsid w:val="008216A9"/>
    <w:rsid w:val="00851949"/>
    <w:rsid w:val="00854633"/>
    <w:rsid w:val="00877A23"/>
    <w:rsid w:val="0088159D"/>
    <w:rsid w:val="008A34E6"/>
    <w:rsid w:val="008D1479"/>
    <w:rsid w:val="008F58FD"/>
    <w:rsid w:val="00901FA1"/>
    <w:rsid w:val="009064BB"/>
    <w:rsid w:val="009206DB"/>
    <w:rsid w:val="00954C5C"/>
    <w:rsid w:val="00966471"/>
    <w:rsid w:val="009B2E64"/>
    <w:rsid w:val="009C7289"/>
    <w:rsid w:val="00A245D0"/>
    <w:rsid w:val="00A3681E"/>
    <w:rsid w:val="00A37433"/>
    <w:rsid w:val="00A43A23"/>
    <w:rsid w:val="00A47B7F"/>
    <w:rsid w:val="00A50CA7"/>
    <w:rsid w:val="00A85C00"/>
    <w:rsid w:val="00AA0FBD"/>
    <w:rsid w:val="00AE47E3"/>
    <w:rsid w:val="00AE5812"/>
    <w:rsid w:val="00B61D3C"/>
    <w:rsid w:val="00B74DDA"/>
    <w:rsid w:val="00BB24E5"/>
    <w:rsid w:val="00BB62A7"/>
    <w:rsid w:val="00C62A39"/>
    <w:rsid w:val="00CF5703"/>
    <w:rsid w:val="00D528A1"/>
    <w:rsid w:val="00D74B5A"/>
    <w:rsid w:val="00D840A2"/>
    <w:rsid w:val="00D95DB4"/>
    <w:rsid w:val="00E470AA"/>
    <w:rsid w:val="00EA2E23"/>
    <w:rsid w:val="00EB075A"/>
    <w:rsid w:val="00ED6AED"/>
    <w:rsid w:val="00F1532F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F8"/>
    <w:rPr>
      <w:rFonts w:ascii="Century Gothic" w:hAnsi="Century Gothi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smartsheet.com/try-it?trp=27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1191</Words>
  <Characters>6672</Characters>
  <Application>Microsoft Office Word</Application>
  <DocSecurity>0</DocSecurity>
  <Lines>476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8</cp:revision>
  <dcterms:created xsi:type="dcterms:W3CDTF">2024-05-29T23:00:00Z</dcterms:created>
  <dcterms:modified xsi:type="dcterms:W3CDTF">2024-09-25T14:33:00Z</dcterms:modified>
</cp:coreProperties>
</file>